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bCs/>
          <w:sz w:val="36"/>
          <w:szCs w:val="40"/>
        </w:rPr>
      </w:pPr>
      <w:r>
        <w:rPr>
          <w:rFonts w:hint="eastAsia" w:ascii="微软雅黑" w:hAnsi="微软雅黑" w:eastAsia="微软雅黑"/>
          <w:b/>
          <w:bCs/>
          <w:sz w:val="36"/>
          <w:szCs w:val="40"/>
        </w:rPr>
        <w:t>2</w:t>
      </w:r>
      <w:r>
        <w:rPr>
          <w:rFonts w:ascii="微软雅黑" w:hAnsi="微软雅黑" w:eastAsia="微软雅黑"/>
          <w:b/>
          <w:bCs/>
          <w:sz w:val="36"/>
          <w:szCs w:val="40"/>
        </w:rPr>
        <w:t>019</w:t>
      </w:r>
      <w:r>
        <w:rPr>
          <w:rFonts w:hint="eastAsia" w:ascii="微软雅黑" w:hAnsi="微软雅黑" w:eastAsia="微软雅黑"/>
          <w:b/>
          <w:bCs/>
          <w:sz w:val="36"/>
          <w:szCs w:val="40"/>
        </w:rPr>
        <w:t>年新闻宣传工作先进单位申报表</w:t>
      </w:r>
    </w:p>
    <w:p>
      <w:pPr>
        <w:jc w:val="center"/>
        <w:rPr>
          <w:rFonts w:hint="eastAsia" w:ascii="微软雅黑" w:hAnsi="微软雅黑" w:eastAsia="微软雅黑"/>
          <w:b/>
          <w:bCs/>
          <w:sz w:val="36"/>
          <w:szCs w:val="40"/>
        </w:rPr>
      </w:pPr>
    </w:p>
    <w:tbl>
      <w:tblPr>
        <w:tblStyle w:val="3"/>
        <w:tblW w:w="0" w:type="auto"/>
        <w:tblInd w:w="0" w:type="dxa"/>
        <w:tbl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single" w:color="4472C4" w:themeColor="accent1" w:sz="4" w:space="0"/>
          <w:insideV w:val="single" w:color="4472C4" w:themeColor="accen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701"/>
        <w:gridCol w:w="2552"/>
        <w:gridCol w:w="1780"/>
      </w:tblGrid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DEEAF6" w:themeFill="accent5" w:themeFillTint="33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单位名称</w:t>
            </w:r>
          </w:p>
        </w:tc>
        <w:tc>
          <w:tcPr>
            <w:tcW w:w="6033" w:type="dxa"/>
            <w:gridSpan w:val="3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DEEAF6" w:themeFill="accent5" w:themeFillTint="33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负责人</w:t>
            </w:r>
          </w:p>
        </w:tc>
        <w:tc>
          <w:tcPr>
            <w:tcW w:w="1701" w:type="dxa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联系电话</w:t>
            </w:r>
          </w:p>
        </w:tc>
        <w:tc>
          <w:tcPr>
            <w:tcW w:w="1780" w:type="dxa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DEEAF6" w:themeFill="accent5" w:themeFillTint="33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申报人</w:t>
            </w:r>
          </w:p>
        </w:tc>
        <w:tc>
          <w:tcPr>
            <w:tcW w:w="1701" w:type="dxa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联系电话</w:t>
            </w:r>
          </w:p>
        </w:tc>
        <w:tc>
          <w:tcPr>
            <w:tcW w:w="1780" w:type="dxa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shd w:val="clear" w:color="auto" w:fill="4472C4" w:themeFill="accent1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hint="eastAsia" w:ascii="微软雅黑" w:hAnsi="微软雅黑" w:eastAsia="微软雅黑"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新闻网数据</w:t>
            </w: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DEEAF6" w:themeFill="accent5" w:themeFillTint="33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发稿总篇数</w:t>
            </w:r>
          </w:p>
        </w:tc>
        <w:tc>
          <w:tcPr>
            <w:tcW w:w="1701" w:type="dxa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推送官网首页篇数</w:t>
            </w:r>
          </w:p>
        </w:tc>
        <w:tc>
          <w:tcPr>
            <w:tcW w:w="1780" w:type="dxa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DEEAF6" w:themeFill="accent5" w:themeFillTint="33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焦点新闻发布篇数</w:t>
            </w:r>
          </w:p>
        </w:tc>
        <w:tc>
          <w:tcPr>
            <w:tcW w:w="1701" w:type="dxa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发稿总得分</w:t>
            </w:r>
          </w:p>
        </w:tc>
        <w:tc>
          <w:tcPr>
            <w:tcW w:w="1780" w:type="dxa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shd w:val="clear" w:color="auto" w:fill="4472C4" w:themeFill="accent1"/>
          </w:tcPr>
          <w:p>
            <w:pPr>
              <w:snapToGrid w:val="0"/>
              <w:spacing w:line="500" w:lineRule="atLeast"/>
              <w:jc w:val="center"/>
              <w:rPr>
                <w:rFonts w:hint="eastAsia" w:ascii="微软雅黑" w:hAnsi="微软雅黑" w:eastAsia="微软雅黑"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新媒体数据</w:t>
            </w: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shd w:val="clear" w:color="auto" w:fill="DEEAF6" w:themeFill="accent5" w:themeFillTint="33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hint="eastAsia"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新媒体平台1</w:t>
            </w: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DEEAF6" w:themeFill="accent5" w:themeFillTint="33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新媒体平台类型</w:t>
            </w:r>
          </w:p>
        </w:tc>
        <w:tc>
          <w:tcPr>
            <w:tcW w:w="1701" w:type="dxa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新媒体平台名称</w:t>
            </w:r>
          </w:p>
        </w:tc>
        <w:tc>
          <w:tcPr>
            <w:tcW w:w="1780" w:type="dxa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DEEAF6" w:themeFill="accent5" w:themeFillTint="33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粉丝数</w:t>
            </w:r>
          </w:p>
        </w:tc>
        <w:tc>
          <w:tcPr>
            <w:tcW w:w="1701" w:type="dxa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2</w:t>
            </w:r>
            <w:r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019</w:t>
            </w: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新增粉丝数</w:t>
            </w:r>
          </w:p>
        </w:tc>
        <w:tc>
          <w:tcPr>
            <w:tcW w:w="1780" w:type="dxa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DEEAF6" w:themeFill="accent5" w:themeFillTint="33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2</w:t>
            </w:r>
            <w:r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019</w:t>
            </w: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发文篇数</w:t>
            </w:r>
          </w:p>
        </w:tc>
        <w:tc>
          <w:tcPr>
            <w:tcW w:w="1701" w:type="dxa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阅读量1</w:t>
            </w:r>
            <w:r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000</w:t>
            </w: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+文章数</w:t>
            </w:r>
          </w:p>
        </w:tc>
        <w:tc>
          <w:tcPr>
            <w:tcW w:w="1780" w:type="dxa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DEEAF6" w:themeFill="accent5" w:themeFillTint="33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学校官微转发本单位公众号文章数</w:t>
            </w:r>
          </w:p>
        </w:tc>
        <w:tc>
          <w:tcPr>
            <w:tcW w:w="1701" w:type="dxa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</w:tcPr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本单位公众号转发</w:t>
            </w:r>
          </w:p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学校官微文章数</w:t>
            </w:r>
          </w:p>
        </w:tc>
        <w:tc>
          <w:tcPr>
            <w:tcW w:w="1780" w:type="dxa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DEEAF6" w:themeFill="accent5" w:themeFillTint="33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早新闻发布文章数</w:t>
            </w:r>
          </w:p>
        </w:tc>
        <w:tc>
          <w:tcPr>
            <w:tcW w:w="1701" w:type="dxa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sz w:val="22"/>
              </w:rPr>
            </w:pPr>
          </w:p>
        </w:tc>
        <w:tc>
          <w:tcPr>
            <w:tcW w:w="2552" w:type="dxa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sz w:val="22"/>
              </w:rPr>
            </w:pPr>
          </w:p>
        </w:tc>
        <w:tc>
          <w:tcPr>
            <w:tcW w:w="1780" w:type="dxa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shd w:val="clear" w:color="auto" w:fill="DEEAF6" w:themeFill="accent5" w:themeFillTint="33"/>
          </w:tcPr>
          <w:p>
            <w:pPr>
              <w:snapToGrid w:val="0"/>
              <w:spacing w:line="500" w:lineRule="atLeast"/>
              <w:jc w:val="center"/>
              <w:rPr>
                <w:rFonts w:hint="eastAsia"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新媒体平台</w:t>
            </w:r>
            <w:r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DEEAF6" w:themeFill="accent5" w:themeFillTint="33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新媒体平台类型</w:t>
            </w:r>
          </w:p>
        </w:tc>
        <w:tc>
          <w:tcPr>
            <w:tcW w:w="1701" w:type="dxa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新媒体平台名称</w:t>
            </w:r>
          </w:p>
        </w:tc>
        <w:tc>
          <w:tcPr>
            <w:tcW w:w="1780" w:type="dxa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DEEAF6" w:themeFill="accent5" w:themeFillTint="33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粉丝数</w:t>
            </w:r>
          </w:p>
        </w:tc>
        <w:tc>
          <w:tcPr>
            <w:tcW w:w="1701" w:type="dxa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2</w:t>
            </w:r>
            <w:r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019</w:t>
            </w: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新增粉丝数</w:t>
            </w:r>
          </w:p>
        </w:tc>
        <w:tc>
          <w:tcPr>
            <w:tcW w:w="1780" w:type="dxa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DEEAF6" w:themeFill="accent5" w:themeFillTint="33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2</w:t>
            </w:r>
            <w:r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019</w:t>
            </w: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发文篇数</w:t>
            </w:r>
          </w:p>
        </w:tc>
        <w:tc>
          <w:tcPr>
            <w:tcW w:w="1701" w:type="dxa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阅读量1</w:t>
            </w:r>
            <w:r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000</w:t>
            </w: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+文章数</w:t>
            </w:r>
          </w:p>
        </w:tc>
        <w:tc>
          <w:tcPr>
            <w:tcW w:w="1780" w:type="dxa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DEEAF6" w:themeFill="accent5" w:themeFillTint="33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学校官微转发本单位公众号文章数</w:t>
            </w:r>
          </w:p>
        </w:tc>
        <w:tc>
          <w:tcPr>
            <w:tcW w:w="1701" w:type="dxa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</w:tcPr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本单位公众号转发</w:t>
            </w:r>
          </w:p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学校官微文章数</w:t>
            </w:r>
          </w:p>
        </w:tc>
        <w:tc>
          <w:tcPr>
            <w:tcW w:w="1780" w:type="dxa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DEEAF6" w:themeFill="accent5" w:themeFillTint="33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早新闻发布文章数</w:t>
            </w:r>
          </w:p>
        </w:tc>
        <w:tc>
          <w:tcPr>
            <w:tcW w:w="1701" w:type="dxa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sz w:val="22"/>
              </w:rPr>
            </w:pPr>
          </w:p>
        </w:tc>
        <w:tc>
          <w:tcPr>
            <w:tcW w:w="2552" w:type="dxa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sz w:val="22"/>
              </w:rPr>
            </w:pPr>
          </w:p>
        </w:tc>
        <w:tc>
          <w:tcPr>
            <w:tcW w:w="1780" w:type="dxa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shd w:val="clear" w:color="auto" w:fill="DEEAF6" w:themeFill="accent5" w:themeFillTint="33"/>
          </w:tcPr>
          <w:p>
            <w:pPr>
              <w:snapToGrid w:val="0"/>
              <w:spacing w:line="500" w:lineRule="atLeast"/>
              <w:jc w:val="center"/>
              <w:rPr>
                <w:rFonts w:hint="eastAsia"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新媒体平台</w:t>
            </w:r>
            <w:r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DEEAF6" w:themeFill="accent5" w:themeFillTint="33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新媒体平台类型</w:t>
            </w:r>
          </w:p>
        </w:tc>
        <w:tc>
          <w:tcPr>
            <w:tcW w:w="1701" w:type="dxa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新媒体平台名称</w:t>
            </w:r>
          </w:p>
        </w:tc>
        <w:tc>
          <w:tcPr>
            <w:tcW w:w="1780" w:type="dxa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DEEAF6" w:themeFill="accent5" w:themeFillTint="33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粉丝数</w:t>
            </w:r>
          </w:p>
        </w:tc>
        <w:tc>
          <w:tcPr>
            <w:tcW w:w="1701" w:type="dxa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2</w:t>
            </w:r>
            <w:r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019</w:t>
            </w: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新增粉丝数</w:t>
            </w:r>
          </w:p>
        </w:tc>
        <w:tc>
          <w:tcPr>
            <w:tcW w:w="1780" w:type="dxa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DEEAF6" w:themeFill="accent5" w:themeFillTint="33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2</w:t>
            </w:r>
            <w:r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019</w:t>
            </w: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发文篇数</w:t>
            </w:r>
          </w:p>
        </w:tc>
        <w:tc>
          <w:tcPr>
            <w:tcW w:w="1701" w:type="dxa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阅读量1</w:t>
            </w:r>
            <w:r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000</w:t>
            </w: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+文章数</w:t>
            </w:r>
          </w:p>
        </w:tc>
        <w:tc>
          <w:tcPr>
            <w:tcW w:w="1780" w:type="dxa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DEEAF6" w:themeFill="accent5" w:themeFillTint="33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学校官微转发本单位公众号文章数</w:t>
            </w:r>
          </w:p>
        </w:tc>
        <w:tc>
          <w:tcPr>
            <w:tcW w:w="1701" w:type="dxa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</w:tcPr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本单位公众号转发</w:t>
            </w:r>
          </w:p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学校官微文章数</w:t>
            </w:r>
          </w:p>
        </w:tc>
        <w:tc>
          <w:tcPr>
            <w:tcW w:w="1780" w:type="dxa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DEEAF6" w:themeFill="accent5" w:themeFillTint="33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早新闻发布文章数</w:t>
            </w:r>
          </w:p>
        </w:tc>
        <w:tc>
          <w:tcPr>
            <w:tcW w:w="1701" w:type="dxa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sz w:val="22"/>
              </w:rPr>
            </w:pPr>
          </w:p>
        </w:tc>
        <w:tc>
          <w:tcPr>
            <w:tcW w:w="2552" w:type="dxa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sz w:val="22"/>
              </w:rPr>
            </w:pPr>
          </w:p>
        </w:tc>
        <w:tc>
          <w:tcPr>
            <w:tcW w:w="1780" w:type="dxa"/>
          </w:tcPr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shd w:val="clear" w:color="auto" w:fill="4472C4" w:themeFill="accent1"/>
          </w:tcPr>
          <w:p>
            <w:pPr>
              <w:snapToGrid w:val="0"/>
              <w:spacing w:line="500" w:lineRule="atLeast"/>
              <w:jc w:val="center"/>
              <w:rPr>
                <w:rFonts w:hint="eastAsia" w:ascii="微软雅黑" w:hAnsi="微软雅黑" w:eastAsia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本单位</w:t>
            </w:r>
            <w:r>
              <w:rPr>
                <w:rFonts w:ascii="微软雅黑" w:hAnsi="微软雅黑" w:eastAsia="微软雅黑"/>
                <w:b/>
                <w:bCs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2019年度新闻宣传工作概述</w:t>
            </w: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8296" w:type="dxa"/>
            <w:gridSpan w:val="4"/>
            <w:shd w:val="clear" w:color="auto" w:fill="FFFFFF" w:themeFill="background1"/>
          </w:tcPr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</w:p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</w:p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</w:p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</w:p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</w:p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</w:p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</w:p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</w:p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</w:p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sz w:val="22"/>
              </w:rPr>
            </w:pPr>
          </w:p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sz w:val="22"/>
              </w:rPr>
            </w:pPr>
          </w:p>
          <w:p>
            <w:pPr>
              <w:snapToGrid w:val="0"/>
              <w:spacing w:line="500" w:lineRule="atLeast"/>
              <w:rPr>
                <w:rFonts w:ascii="微软雅黑" w:hAnsi="微软雅黑" w:eastAsia="微软雅黑"/>
                <w:sz w:val="22"/>
              </w:rPr>
            </w:pPr>
          </w:p>
          <w:p>
            <w:pPr>
              <w:snapToGrid w:val="0"/>
              <w:spacing w:line="500" w:lineRule="atLeast"/>
              <w:rPr>
                <w:rFonts w:hint="eastAsia" w:ascii="微软雅黑" w:hAnsi="微软雅黑" w:eastAsia="微软雅黑"/>
                <w:sz w:val="22"/>
              </w:rPr>
            </w:pPr>
          </w:p>
        </w:tc>
      </w:tr>
    </w:tbl>
    <w:p/>
    <w:p>
      <w:pPr>
        <w:spacing w:before="240" w:line="400" w:lineRule="exact"/>
        <w:rPr>
          <w:rFonts w:ascii="微软雅黑" w:hAnsi="微软雅黑" w:eastAsia="微软雅黑"/>
          <w:sz w:val="24"/>
          <w:szCs w:val="28"/>
        </w:rPr>
      </w:pPr>
      <w:r>
        <w:rPr>
          <w:rFonts w:hint="eastAsia" w:ascii="微软雅黑" w:hAnsi="微软雅黑" w:eastAsia="微软雅黑"/>
          <w:sz w:val="24"/>
          <w:szCs w:val="28"/>
        </w:rPr>
        <w:t>填写说明：</w:t>
      </w:r>
    </w:p>
    <w:p>
      <w:pPr>
        <w:pStyle w:val="8"/>
        <w:numPr>
          <w:ilvl w:val="0"/>
          <w:numId w:val="1"/>
        </w:numPr>
        <w:spacing w:before="240" w:line="400" w:lineRule="exact"/>
        <w:ind w:firstLineChars="0"/>
        <w:rPr>
          <w:rFonts w:ascii="微软雅黑" w:hAnsi="微软雅黑" w:eastAsia="微软雅黑"/>
          <w:sz w:val="24"/>
          <w:szCs w:val="28"/>
        </w:rPr>
      </w:pPr>
      <w:r>
        <w:rPr>
          <w:rFonts w:ascii="微软雅黑" w:hAnsi="微软雅黑" w:eastAsia="微软雅黑"/>
          <w:sz w:val="24"/>
          <w:szCs w:val="28"/>
        </w:rPr>
        <w:t xml:space="preserve">数据统计时段：2018年12月11日-2019年12月10日（以文章发布时间为准）      </w:t>
      </w:r>
    </w:p>
    <w:p>
      <w:pPr>
        <w:pStyle w:val="8"/>
        <w:numPr>
          <w:ilvl w:val="0"/>
          <w:numId w:val="1"/>
        </w:numPr>
        <w:spacing w:before="240" w:line="400" w:lineRule="exact"/>
        <w:ind w:firstLineChars="0"/>
        <w:rPr>
          <w:rFonts w:ascii="微软雅黑" w:hAnsi="微软雅黑" w:eastAsia="微软雅黑"/>
          <w:sz w:val="24"/>
          <w:szCs w:val="28"/>
        </w:rPr>
      </w:pPr>
      <w:r>
        <w:rPr>
          <w:rFonts w:ascii="微软雅黑" w:hAnsi="微软雅黑" w:eastAsia="微软雅黑"/>
          <w:sz w:val="24"/>
          <w:szCs w:val="28"/>
        </w:rPr>
        <w:t>新闻网统计数据可登录成电新闻网发稿统计系统进行查询：</w:t>
      </w:r>
      <w:r>
        <w:fldChar w:fldCharType="begin"/>
      </w:r>
      <w:r>
        <w:instrText xml:space="preserve"> HYPERLINK "http://www.newsdata.uestc.edu.cn/" </w:instrText>
      </w:r>
      <w:r>
        <w:fldChar w:fldCharType="separate"/>
      </w:r>
      <w:r>
        <w:rPr>
          <w:rStyle w:val="6"/>
          <w:rFonts w:ascii="微软雅黑" w:hAnsi="微软雅黑" w:eastAsia="微软雅黑"/>
          <w:sz w:val="24"/>
          <w:szCs w:val="28"/>
        </w:rPr>
        <w:t>http://www.newsdata.uestc.edu.cn/</w:t>
      </w:r>
      <w:r>
        <w:rPr>
          <w:rStyle w:val="6"/>
          <w:rFonts w:ascii="微软雅黑" w:hAnsi="微软雅黑" w:eastAsia="微软雅黑"/>
          <w:sz w:val="24"/>
          <w:szCs w:val="28"/>
        </w:rPr>
        <w:fldChar w:fldCharType="end"/>
      </w:r>
      <w:r>
        <w:rPr>
          <w:rFonts w:ascii="微软雅黑" w:hAnsi="微软雅黑" w:eastAsia="微软雅黑"/>
          <w:sz w:val="24"/>
          <w:szCs w:val="28"/>
        </w:rPr>
        <w:t>，或直接在成电新闻网搜索</w:t>
      </w:r>
    </w:p>
    <w:p>
      <w:pPr>
        <w:pStyle w:val="8"/>
        <w:widowControl/>
        <w:numPr>
          <w:ilvl w:val="0"/>
          <w:numId w:val="1"/>
        </w:numPr>
        <w:spacing w:before="240" w:line="400" w:lineRule="exact"/>
        <w:ind w:firstLineChars="0"/>
        <w:jc w:val="left"/>
        <w:rPr>
          <w:rFonts w:ascii="微软雅黑" w:hAnsi="微软雅黑" w:eastAsia="微软雅黑"/>
          <w:sz w:val="24"/>
          <w:szCs w:val="28"/>
        </w:rPr>
      </w:pPr>
      <w:r>
        <w:rPr>
          <w:rFonts w:ascii="微软雅黑" w:hAnsi="微软雅黑" w:eastAsia="微软雅黑"/>
          <w:sz w:val="24"/>
          <w:szCs w:val="28"/>
        </w:rPr>
        <w:t>早新闻发布文章数是指在“看成电”公众号《成电早新闻》中，投稿并被发布的文章数量。合并发布的文章各单位单独算一篇</w:t>
      </w:r>
    </w:p>
    <w:p>
      <w:pPr>
        <w:widowControl/>
        <w:jc w:val="left"/>
        <w:rPr>
          <w:rFonts w:ascii="微软雅黑" w:hAnsi="微软雅黑" w:eastAsia="微软雅黑"/>
          <w:sz w:val="24"/>
          <w:szCs w:val="28"/>
        </w:rPr>
      </w:pPr>
      <w:r>
        <w:rPr>
          <w:rFonts w:ascii="微软雅黑" w:hAnsi="微软雅黑" w:eastAsia="微软雅黑"/>
          <w:sz w:val="24"/>
          <w:szCs w:val="28"/>
        </w:rPr>
        <w:br w:type="page"/>
      </w:r>
    </w:p>
    <w:p>
      <w:pPr>
        <w:spacing w:before="240" w:line="400" w:lineRule="exact"/>
        <w:rPr>
          <w:rFonts w:ascii="微软雅黑" w:hAnsi="微软雅黑" w:eastAsia="微软雅黑"/>
          <w:sz w:val="24"/>
          <w:szCs w:val="28"/>
        </w:rPr>
      </w:pPr>
    </w:p>
    <w:p>
      <w:pPr>
        <w:jc w:val="center"/>
        <w:rPr>
          <w:rFonts w:ascii="微软雅黑" w:hAnsi="微软雅黑" w:eastAsia="微软雅黑"/>
          <w:b/>
          <w:bCs/>
          <w:sz w:val="36"/>
          <w:szCs w:val="40"/>
        </w:rPr>
      </w:pPr>
      <w:r>
        <w:rPr>
          <w:rFonts w:hint="eastAsia" w:ascii="微软雅黑" w:hAnsi="微软雅黑" w:eastAsia="微软雅黑"/>
          <w:b/>
          <w:bCs/>
          <w:sz w:val="36"/>
          <w:szCs w:val="40"/>
        </w:rPr>
        <w:t>2</w:t>
      </w:r>
      <w:r>
        <w:rPr>
          <w:rFonts w:ascii="微软雅黑" w:hAnsi="微软雅黑" w:eastAsia="微软雅黑"/>
          <w:b/>
          <w:bCs/>
          <w:sz w:val="36"/>
          <w:szCs w:val="40"/>
        </w:rPr>
        <w:t>019</w:t>
      </w:r>
      <w:r>
        <w:rPr>
          <w:rFonts w:hint="eastAsia" w:ascii="微软雅黑" w:hAnsi="微软雅黑" w:eastAsia="微软雅黑"/>
          <w:b/>
          <w:bCs/>
          <w:sz w:val="36"/>
          <w:szCs w:val="40"/>
        </w:rPr>
        <w:t>年新闻宣传工作先进个人申报表</w:t>
      </w:r>
    </w:p>
    <w:p>
      <w:pPr>
        <w:jc w:val="center"/>
        <w:rPr>
          <w:rFonts w:hint="eastAsia" w:ascii="微软雅黑" w:hAnsi="微软雅黑" w:eastAsia="微软雅黑"/>
          <w:b/>
          <w:bCs/>
          <w:sz w:val="36"/>
          <w:szCs w:val="40"/>
        </w:rPr>
      </w:pPr>
    </w:p>
    <w:tbl>
      <w:tblPr>
        <w:tblStyle w:val="3"/>
        <w:tblW w:w="0" w:type="auto"/>
        <w:tblInd w:w="0" w:type="dxa"/>
        <w:tbl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single" w:color="4472C4" w:themeColor="accent1" w:sz="4" w:space="0"/>
          <w:insideV w:val="single" w:color="4472C4" w:themeColor="accen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701"/>
        <w:gridCol w:w="2552"/>
        <w:gridCol w:w="1780"/>
      </w:tblGrid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DEEAF6" w:themeFill="accent5" w:themeFillTint="33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单位名称</w:t>
            </w:r>
          </w:p>
        </w:tc>
        <w:tc>
          <w:tcPr>
            <w:tcW w:w="6033" w:type="dxa"/>
            <w:gridSpan w:val="3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DEEAF6" w:themeFill="accent5" w:themeFillTint="33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申报人</w:t>
            </w:r>
          </w:p>
        </w:tc>
        <w:tc>
          <w:tcPr>
            <w:tcW w:w="1701" w:type="dxa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申报人联系方式</w:t>
            </w: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shd w:val="clear" w:color="auto" w:fill="4472C4" w:themeFill="accent1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微软雅黑" w:hAnsi="微软雅黑" w:eastAsia="微软雅黑"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新闻网数据</w:t>
            </w: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DEEAF6" w:themeFill="accent5" w:themeFillTint="33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发稿总篇数</w:t>
            </w:r>
          </w:p>
        </w:tc>
        <w:tc>
          <w:tcPr>
            <w:tcW w:w="1701" w:type="dxa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推送官网首页篇数</w:t>
            </w: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DEEAF6" w:themeFill="accent5" w:themeFillTint="33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发稿总得分</w:t>
            </w:r>
          </w:p>
        </w:tc>
        <w:tc>
          <w:tcPr>
            <w:tcW w:w="1701" w:type="dxa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文章最高阅读量</w:t>
            </w: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shd w:val="clear" w:color="auto" w:fill="4472C4" w:themeFill="accent1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微软雅黑" w:hAnsi="微软雅黑" w:eastAsia="微软雅黑"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新媒体数据</w:t>
            </w: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shd w:val="clear" w:color="auto" w:fill="DEEAF6" w:themeFill="accent5" w:themeFillTint="3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新媒体平台1</w:t>
            </w: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DEEAF6" w:themeFill="accent5" w:themeFillTint="33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新媒体平台类型</w:t>
            </w:r>
          </w:p>
        </w:tc>
        <w:tc>
          <w:tcPr>
            <w:tcW w:w="1701" w:type="dxa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新媒体平台名称</w:t>
            </w: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DEEAF6" w:themeFill="accent5" w:themeFillTint="33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发文篇数</w:t>
            </w:r>
          </w:p>
        </w:tc>
        <w:tc>
          <w:tcPr>
            <w:tcW w:w="1701" w:type="dxa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文章最高阅读量</w:t>
            </w: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shd w:val="clear" w:color="auto" w:fill="DEEAF6" w:themeFill="accent5" w:themeFillTint="33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新媒体平台</w:t>
            </w:r>
            <w:r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DEEAF6" w:themeFill="accent5" w:themeFillTint="33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新媒体平台类型</w:t>
            </w:r>
          </w:p>
        </w:tc>
        <w:tc>
          <w:tcPr>
            <w:tcW w:w="1701" w:type="dxa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新媒体平台名称</w:t>
            </w: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DEEAF6" w:themeFill="accent5" w:themeFillTint="33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发文篇数</w:t>
            </w:r>
          </w:p>
        </w:tc>
        <w:tc>
          <w:tcPr>
            <w:tcW w:w="1701" w:type="dxa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文章最高阅读量</w:t>
            </w: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shd w:val="clear" w:color="auto" w:fill="DEEAF6" w:themeFill="accent5" w:themeFillTint="33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新媒体平台</w:t>
            </w:r>
            <w:r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DEEAF6" w:themeFill="accent5" w:themeFillTint="33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新媒体平台类型</w:t>
            </w:r>
          </w:p>
        </w:tc>
        <w:tc>
          <w:tcPr>
            <w:tcW w:w="1701" w:type="dxa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新媒体平台名称</w:t>
            </w: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DEEAF6" w:themeFill="accent5" w:themeFillTint="33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发文篇数</w:t>
            </w:r>
          </w:p>
        </w:tc>
        <w:tc>
          <w:tcPr>
            <w:tcW w:w="1701" w:type="dxa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文章最高阅读量</w:t>
            </w: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shd w:val="clear" w:color="auto" w:fill="4472C4" w:themeFill="accent1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微软雅黑" w:hAnsi="微软雅黑" w:eastAsia="微软雅黑"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最高阅读量文章详情</w:t>
            </w: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DEEAF6" w:themeFill="accent5" w:themeFillTint="33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文章1标题</w:t>
            </w:r>
          </w:p>
        </w:tc>
        <w:tc>
          <w:tcPr>
            <w:tcW w:w="1701" w:type="dxa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文章阅读量</w:t>
            </w: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DEEAF6" w:themeFill="accent5" w:themeFillTint="33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作品链接</w:t>
            </w:r>
          </w:p>
        </w:tc>
        <w:tc>
          <w:tcPr>
            <w:tcW w:w="6033" w:type="dxa"/>
            <w:gridSpan w:val="3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DEEAF6" w:themeFill="accent5" w:themeFillTint="33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文章</w:t>
            </w:r>
            <w:r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2</w:t>
            </w: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标题</w:t>
            </w:r>
          </w:p>
        </w:tc>
        <w:tc>
          <w:tcPr>
            <w:tcW w:w="1701" w:type="dxa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文章阅读量</w:t>
            </w: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DEEAF6" w:themeFill="accent5" w:themeFillTint="33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作品链接</w:t>
            </w:r>
          </w:p>
        </w:tc>
        <w:tc>
          <w:tcPr>
            <w:tcW w:w="6033" w:type="dxa"/>
            <w:gridSpan w:val="3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DEEAF6" w:themeFill="accent5" w:themeFillTint="33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文章</w:t>
            </w:r>
            <w:r>
              <w:rPr>
                <w:rFonts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3</w:t>
            </w: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标题</w:t>
            </w:r>
          </w:p>
        </w:tc>
        <w:tc>
          <w:tcPr>
            <w:tcW w:w="1701" w:type="dxa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sz w:val="22"/>
              </w:rPr>
            </w:pPr>
          </w:p>
        </w:tc>
        <w:tc>
          <w:tcPr>
            <w:tcW w:w="2552" w:type="dxa"/>
            <w:shd w:val="clear" w:color="auto" w:fill="DEEAF6" w:themeFill="accent5" w:themeFillTint="33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文章阅读量</w:t>
            </w: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DEEAF6" w:themeFill="accent5" w:themeFillTint="33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72C4" w:themeColor="accent1"/>
                <w:sz w:val="22"/>
                <w14:textFill>
                  <w14:solidFill>
                    <w14:schemeClr w14:val="accent1"/>
                  </w14:solidFill>
                </w14:textFill>
              </w:rPr>
              <w:t>作品链接</w:t>
            </w:r>
          </w:p>
        </w:tc>
        <w:tc>
          <w:tcPr>
            <w:tcW w:w="6033" w:type="dxa"/>
            <w:gridSpan w:val="3"/>
          </w:tcPr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shd w:val="clear" w:color="auto" w:fill="4472C4" w:themeFill="accent1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本人</w:t>
            </w:r>
            <w:r>
              <w:rPr>
                <w:rFonts w:ascii="微软雅黑" w:hAnsi="微软雅黑" w:eastAsia="微软雅黑"/>
                <w:b/>
                <w:bCs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2019年度新闻宣传工作概述</w:t>
            </w:r>
          </w:p>
        </w:tc>
      </w:tr>
      <w:tr>
        <w:tblPrEx>
          <w:tblBorders>
            <w:top w:val="single" w:color="4472C4" w:themeColor="accent1" w:sz="4" w:space="0"/>
            <w:left w:val="single" w:color="4472C4" w:themeColor="accent1" w:sz="4" w:space="0"/>
            <w:bottom w:val="single" w:color="4472C4" w:themeColor="accent1" w:sz="4" w:space="0"/>
            <w:right w:val="single" w:color="4472C4" w:themeColor="accent1" w:sz="4" w:space="0"/>
            <w:insideH w:val="single" w:color="4472C4" w:themeColor="accent1" w:sz="4" w:space="0"/>
            <w:insideV w:val="single" w:color="4472C4" w:themeColor="accen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shd w:val="clear" w:color="auto" w:fill="FFFFFF" w:themeFill="background1"/>
          </w:tcPr>
          <w:p>
            <w:pPr>
              <w:adjustRightInd w:val="0"/>
              <w:snapToGrid w:val="0"/>
              <w:spacing w:line="500" w:lineRule="exact"/>
              <w:rPr>
                <w:rFonts w:ascii="微软雅黑" w:hAnsi="微软雅黑" w:eastAsia="微软雅黑"/>
                <w:sz w:val="22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微软雅黑" w:hAnsi="微软雅黑" w:eastAsia="微软雅黑"/>
                <w:sz w:val="22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微软雅黑" w:hAnsi="微软雅黑" w:eastAsia="微软雅黑"/>
                <w:sz w:val="22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微软雅黑" w:hAnsi="微软雅黑" w:eastAsia="微软雅黑"/>
                <w:sz w:val="22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微软雅黑" w:hAnsi="微软雅黑" w:eastAsia="微软雅黑"/>
                <w:sz w:val="22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微软雅黑" w:hAnsi="微软雅黑" w:eastAsia="微软雅黑"/>
                <w:sz w:val="22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微软雅黑" w:hAnsi="微软雅黑" w:eastAsia="微软雅黑"/>
                <w:sz w:val="22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微软雅黑" w:hAnsi="微软雅黑" w:eastAsia="微软雅黑"/>
                <w:sz w:val="22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微软雅黑" w:hAnsi="微软雅黑" w:eastAsia="微软雅黑"/>
                <w:sz w:val="22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微软雅黑" w:hAnsi="微软雅黑" w:eastAsia="微软雅黑"/>
                <w:sz w:val="22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微软雅黑" w:hAnsi="微软雅黑" w:eastAsia="微软雅黑"/>
                <w:sz w:val="22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微软雅黑" w:hAnsi="微软雅黑" w:eastAsia="微软雅黑"/>
                <w:sz w:val="22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微软雅黑" w:hAnsi="微软雅黑" w:eastAsia="微软雅黑"/>
                <w:sz w:val="22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微软雅黑" w:hAnsi="微软雅黑" w:eastAsia="微软雅黑"/>
                <w:sz w:val="22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微软雅黑" w:hAnsi="微软雅黑" w:eastAsia="微软雅黑"/>
                <w:sz w:val="22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微软雅黑" w:hAnsi="微软雅黑" w:eastAsia="微软雅黑"/>
                <w:sz w:val="22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微软雅黑" w:hAnsi="微软雅黑" w:eastAsia="微软雅黑"/>
                <w:sz w:val="22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微软雅黑" w:hAnsi="微软雅黑" w:eastAsia="微软雅黑"/>
                <w:sz w:val="22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sz w:val="22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微软雅黑" w:hAnsi="微软雅黑" w:eastAsia="微软雅黑"/>
                <w:sz w:val="22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hint="eastAsia" w:ascii="微软雅黑" w:hAnsi="微软雅黑" w:eastAsia="微软雅黑"/>
                <w:sz w:val="22"/>
              </w:rPr>
            </w:pPr>
          </w:p>
        </w:tc>
      </w:tr>
    </w:tbl>
    <w:p>
      <w:pPr>
        <w:spacing w:before="240" w:line="400" w:lineRule="exact"/>
        <w:rPr>
          <w:rFonts w:ascii="微软雅黑" w:hAnsi="微软雅黑" w:eastAsia="微软雅黑"/>
          <w:sz w:val="24"/>
          <w:szCs w:val="28"/>
        </w:rPr>
      </w:pPr>
      <w:r>
        <w:rPr>
          <w:rFonts w:hint="eastAsia" w:ascii="微软雅黑" w:hAnsi="微软雅黑" w:eastAsia="微软雅黑"/>
          <w:sz w:val="24"/>
          <w:szCs w:val="28"/>
        </w:rPr>
        <w:t>填报说明：</w:t>
      </w:r>
    </w:p>
    <w:p>
      <w:pPr>
        <w:spacing w:before="240" w:line="400" w:lineRule="exact"/>
        <w:rPr>
          <w:rFonts w:ascii="微软雅黑" w:hAnsi="微软雅黑" w:eastAsia="微软雅黑"/>
          <w:sz w:val="24"/>
          <w:szCs w:val="28"/>
        </w:rPr>
      </w:pPr>
      <w:r>
        <w:rPr>
          <w:rFonts w:ascii="微软雅黑" w:hAnsi="微软雅黑" w:eastAsia="微软雅黑"/>
          <w:sz w:val="24"/>
          <w:szCs w:val="28"/>
        </w:rPr>
        <w:t>1、每个单位限报送新闻宣传工作先进个人1名，老师或学生</w:t>
      </w:r>
      <w:r>
        <w:rPr>
          <w:rFonts w:hint="eastAsia" w:ascii="微软雅黑" w:hAnsi="微软雅黑" w:eastAsia="微软雅黑"/>
          <w:sz w:val="24"/>
          <w:szCs w:val="28"/>
        </w:rPr>
        <w:t>均可</w:t>
      </w:r>
      <w:r>
        <w:rPr>
          <w:rFonts w:ascii="微软雅黑" w:hAnsi="微软雅黑" w:eastAsia="微软雅黑"/>
          <w:sz w:val="24"/>
          <w:szCs w:val="28"/>
        </w:rPr>
        <w:t>，只接受单位报送</w:t>
      </w:r>
    </w:p>
    <w:p>
      <w:pPr>
        <w:spacing w:before="240" w:line="400" w:lineRule="exact"/>
        <w:rPr>
          <w:rFonts w:ascii="微软雅黑" w:hAnsi="微软雅黑" w:eastAsia="微软雅黑"/>
          <w:sz w:val="24"/>
          <w:szCs w:val="28"/>
        </w:rPr>
      </w:pPr>
      <w:r>
        <w:rPr>
          <w:rFonts w:ascii="微软雅黑" w:hAnsi="微软雅黑" w:eastAsia="微软雅黑"/>
          <w:sz w:val="24"/>
          <w:szCs w:val="28"/>
        </w:rPr>
        <w:t>2、请在下表附上各平台（新闻网、微博、微信、各视频平台等）3篇最高阅读量的文章详情</w:t>
      </w:r>
    </w:p>
    <w:p>
      <w:pPr>
        <w:spacing w:before="240" w:line="400" w:lineRule="exact"/>
        <w:rPr>
          <w:rFonts w:hint="eastAsia" w:ascii="微软雅黑" w:hAnsi="微软雅黑" w:eastAsia="微软雅黑"/>
          <w:sz w:val="24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DF7"/>
    <w:multiLevelType w:val="multilevel"/>
    <w:tmpl w:val="24046DF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C5"/>
    <w:rsid w:val="001B4FB3"/>
    <w:rsid w:val="001B521B"/>
    <w:rsid w:val="00420DE3"/>
    <w:rsid w:val="004F7F25"/>
    <w:rsid w:val="00525A0A"/>
    <w:rsid w:val="008E6EC5"/>
    <w:rsid w:val="008F2591"/>
    <w:rsid w:val="009A56B0"/>
    <w:rsid w:val="00A23581"/>
    <w:rsid w:val="00C957AF"/>
    <w:rsid w:val="00CF629C"/>
    <w:rsid w:val="00D253A0"/>
    <w:rsid w:val="00D27FF1"/>
    <w:rsid w:val="00F0450A"/>
    <w:rsid w:val="00F32D48"/>
    <w:rsid w:val="219E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4"/>
    <w:semiHidden/>
    <w:unhideWhenUsed/>
    <w:uiPriority w:val="99"/>
    <w:rPr>
      <w:color w:val="605E5C"/>
      <w:shd w:val="clear" w:color="auto" w:fill="E1DFDD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2BD159-0683-4060-88FC-7EA68230CC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171</Words>
  <Characters>976</Characters>
  <Lines>8</Lines>
  <Paragraphs>2</Paragraphs>
  <TotalTime>61</TotalTime>
  <ScaleCrop>false</ScaleCrop>
  <LinksUpToDate>false</LinksUpToDate>
  <CharactersWithSpaces>1145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2019-12-16T02:16:00Z</dcterms:created>
  <dc:creator>gabriel.bun@gmail.com</dc:creator>
  <cp:lastModifiedBy>困哇</cp:lastModifiedBy>
  <cp:lastPrinted>2019-12-16T03:06:00Z</cp:lastPrinted>
  <dcterms:modified xsi:type="dcterms:W3CDTF">2019-12-16T03:22:13Z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