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A86" w:rsidRPr="008758F5" w:rsidRDefault="00882A86" w:rsidP="00603878">
      <w:pPr>
        <w:pStyle w:val="1"/>
        <w:shd w:val="clear" w:color="auto" w:fill="FFFFFF"/>
        <w:spacing w:before="0" w:after="0" w:line="520" w:lineRule="exact"/>
        <w:jc w:val="center"/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</w:pPr>
      <w:r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>2017</w:t>
      </w:r>
      <w:r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>年</w:t>
      </w:r>
      <w:r w:rsidR="006944D7"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>电子科技大学</w:t>
      </w:r>
      <w:r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 xml:space="preserve"> </w:t>
      </w:r>
    </w:p>
    <w:p w:rsidR="006944D7" w:rsidRPr="008758F5" w:rsidRDefault="006944D7" w:rsidP="00603878">
      <w:pPr>
        <w:pStyle w:val="1"/>
        <w:shd w:val="clear" w:color="auto" w:fill="FFFFFF"/>
        <w:spacing w:before="0" w:after="0" w:line="520" w:lineRule="exact"/>
        <w:jc w:val="center"/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</w:pPr>
      <w:r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>“</w:t>
      </w:r>
      <w:r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>新四会</w:t>
      </w:r>
      <w:r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>”</w:t>
      </w:r>
      <w:r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>能力提升计划</w:t>
      </w:r>
      <w:r w:rsidR="0003242D"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>实施</w:t>
      </w:r>
      <w:r w:rsidR="00B2004A" w:rsidRPr="008758F5">
        <w:rPr>
          <w:rFonts w:ascii="Times New Roman" w:eastAsia="方正大标宋简体" w:hAnsi="Times New Roman" w:cs="Times New Roman"/>
          <w:bCs w:val="0"/>
          <w:color w:val="000000" w:themeColor="text1"/>
          <w:spacing w:val="5"/>
          <w:kern w:val="0"/>
        </w:rPr>
        <w:t>方案</w:t>
      </w:r>
    </w:p>
    <w:p w:rsidR="00882A86" w:rsidRPr="008758F5" w:rsidRDefault="00882A86" w:rsidP="00603878">
      <w:pPr>
        <w:spacing w:line="520" w:lineRule="exact"/>
        <w:rPr>
          <w:rFonts w:ascii="Times New Roman" w:hAnsi="Times New Roman" w:cs="Times New Roman"/>
        </w:rPr>
      </w:pPr>
    </w:p>
    <w:p w:rsidR="0051003D" w:rsidRPr="008758F5" w:rsidRDefault="00B02910" w:rsidP="0060387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6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为进一步深化</w:t>
      </w:r>
      <w:proofErr w:type="gramStart"/>
      <w:r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践行</w:t>
      </w:r>
      <w:proofErr w:type="gramEnd"/>
      <w:r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全国高校思想政治工作会议精神，根据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学校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“</w:t>
      </w:r>
      <w:r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建设中国特色世界一流大学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”</w:t>
      </w:r>
      <w:r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的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目标以及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“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精英</w:t>
      </w:r>
      <w:r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人才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”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的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培养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定位，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进一步</w:t>
      </w:r>
      <w:r w:rsidR="00B47CCE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鼓励和引导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全校同学更加注重培养自己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“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新四会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”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能力，推动和支持</w:t>
      </w:r>
      <w:proofErr w:type="gramStart"/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全校各级</w:t>
      </w:r>
      <w:proofErr w:type="gramEnd"/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学生组织积极</w:t>
      </w:r>
      <w:r w:rsidR="00B47CCE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开展</w:t>
      </w:r>
      <w:r w:rsidR="00B47CCE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“</w:t>
      </w:r>
      <w:r w:rsidR="00B47CCE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新四会</w:t>
      </w:r>
      <w:r w:rsidR="00B47CCE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”</w:t>
      </w:r>
      <w:r w:rsidR="00B47CCE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能力提升活动，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在校党委支持下，校团委联合校内各职能部门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启动《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2017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年电子科技大学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“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新四会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”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能力提升计划</w:t>
      </w:r>
      <w:r w:rsidR="00335947" w:rsidRPr="008758F5">
        <w:rPr>
          <w:rFonts w:ascii="Times New Roman" w:eastAsia="方正仿宋简体" w:hAnsi="Times New Roman" w:cs="Times New Roman"/>
          <w:color w:val="000000" w:themeColor="text1"/>
          <w:spacing w:val="5"/>
          <w:sz w:val="32"/>
          <w:szCs w:val="32"/>
        </w:rPr>
        <w:t>》。</w:t>
      </w:r>
    </w:p>
    <w:p w:rsidR="00B2004A" w:rsidRPr="008758F5" w:rsidRDefault="00B2004A" w:rsidP="00603878">
      <w:pPr>
        <w:pStyle w:val="a5"/>
        <w:shd w:val="clear" w:color="auto" w:fill="FFFFFF"/>
        <w:spacing w:before="0" w:beforeAutospacing="0" w:after="0" w:afterAutospacing="0" w:line="520" w:lineRule="exact"/>
        <w:jc w:val="both"/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</w:pPr>
      <w:r w:rsidRPr="008758F5"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  <w:t>一、</w:t>
      </w:r>
      <w:r w:rsidR="003815BB" w:rsidRPr="008758F5"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  <w:t>方案简介</w:t>
      </w:r>
    </w:p>
    <w:p w:rsidR="00B2004A" w:rsidRPr="008758F5" w:rsidRDefault="0048155A" w:rsidP="0060387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该计划</w:t>
      </w:r>
      <w:r w:rsidR="00D431D0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围绕学生</w:t>
      </w:r>
      <w:r w:rsidR="00D431D0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“</w:t>
      </w:r>
      <w:r w:rsidR="00D431D0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新四会</w:t>
      </w:r>
      <w:r w:rsidR="00D431D0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”</w:t>
      </w:r>
      <w:r w:rsidR="00D431D0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能力提升</w:t>
      </w:r>
      <w:r w:rsidR="00D42E77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主题</w:t>
      </w:r>
      <w:r w:rsidR="00D431D0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，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由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“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精品汇、立项汇、社团汇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”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三个层级组成。其中，立项汇拟面向全校各学院、各职能部门和各级学生组织，</w:t>
      </w:r>
      <w:r w:rsidR="0097467A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通过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项目</w:t>
      </w:r>
      <w:r w:rsidR="004A1DCE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申报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、</w:t>
      </w:r>
      <w:r w:rsidR="000645A3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项目考评、</w:t>
      </w:r>
      <w:r w:rsidR="003815BB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现场答辩</w:t>
      </w:r>
      <w:r w:rsidR="000645A3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等形式</w:t>
      </w:r>
      <w:r w:rsidR="0097467A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遴选出优秀项目</w:t>
      </w:r>
      <w:r w:rsidR="00D42E77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予以支持</w:t>
      </w:r>
      <w:r w:rsidR="000645A3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。通过选树一批优秀</w:t>
      </w:r>
      <w:r w:rsidR="000645A3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“</w:t>
      </w:r>
      <w:r w:rsidR="000645A3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新四会</w:t>
      </w:r>
      <w:r w:rsidR="000645A3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”</w:t>
      </w:r>
      <w:r w:rsidR="000645A3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能力提升项目，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激励更多校内组织积极参与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“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新四会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”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能力提升活动，鼓励更多同学积极参与活动提升自我能力，在全校营造良好积极氛围</w:t>
      </w:r>
      <w:r w:rsidR="00B2004A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。</w:t>
      </w:r>
    </w:p>
    <w:p w:rsidR="0051003D" w:rsidRPr="008758F5" w:rsidRDefault="00B2004A" w:rsidP="00603878">
      <w:pPr>
        <w:pStyle w:val="a5"/>
        <w:shd w:val="clear" w:color="auto" w:fill="FFFFFF"/>
        <w:spacing w:before="0" w:beforeAutospacing="0" w:after="0" w:afterAutospacing="0" w:line="520" w:lineRule="exact"/>
        <w:jc w:val="both"/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</w:pPr>
      <w:r w:rsidRPr="008758F5"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  <w:t>二、</w:t>
      </w:r>
      <w:r w:rsidR="00336FF5" w:rsidRPr="008758F5"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  <w:t>经费</w:t>
      </w:r>
      <w:r w:rsidR="00A65822" w:rsidRPr="008758F5"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  <w:t>支持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056"/>
        <w:gridCol w:w="1496"/>
        <w:gridCol w:w="1559"/>
      </w:tblGrid>
      <w:tr w:rsidR="00D42E77" w:rsidRPr="008758F5" w:rsidTr="00D05988">
        <w:tc>
          <w:tcPr>
            <w:tcW w:w="3969" w:type="dxa"/>
            <w:vAlign w:val="center"/>
          </w:tcPr>
          <w:p w:rsidR="00D42E77" w:rsidRPr="008758F5" w:rsidRDefault="00D42E77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项目设置</w:t>
            </w:r>
          </w:p>
        </w:tc>
        <w:tc>
          <w:tcPr>
            <w:tcW w:w="1056" w:type="dxa"/>
            <w:vAlign w:val="center"/>
          </w:tcPr>
          <w:p w:rsidR="00D42E77" w:rsidRPr="008758F5" w:rsidRDefault="00A65822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数量</w:t>
            </w:r>
          </w:p>
        </w:tc>
        <w:tc>
          <w:tcPr>
            <w:tcW w:w="1496" w:type="dxa"/>
          </w:tcPr>
          <w:p w:rsidR="00D42E77" w:rsidRPr="008758F5" w:rsidRDefault="00D42E77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经费</w:t>
            </w:r>
            <w:r w:rsidR="00B94792"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（万）</w:t>
            </w:r>
          </w:p>
        </w:tc>
        <w:tc>
          <w:tcPr>
            <w:tcW w:w="1559" w:type="dxa"/>
          </w:tcPr>
          <w:p w:rsidR="00D42E77" w:rsidRPr="008758F5" w:rsidRDefault="00D42E77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合计</w:t>
            </w:r>
            <w:r w:rsidR="00B94792"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（万）</w:t>
            </w:r>
          </w:p>
        </w:tc>
      </w:tr>
      <w:tr w:rsidR="00D42E77" w:rsidRPr="008758F5" w:rsidTr="00B94792">
        <w:trPr>
          <w:trHeight w:val="325"/>
        </w:trPr>
        <w:tc>
          <w:tcPr>
            <w:tcW w:w="3969" w:type="dxa"/>
          </w:tcPr>
          <w:p w:rsidR="00D42E77" w:rsidRPr="008758F5" w:rsidRDefault="00D42E77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“</w:t>
            </w: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新四会</w:t>
            </w: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”</w:t>
            </w: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能力提升</w:t>
            </w:r>
            <w:r w:rsidR="00927AAD"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计划</w:t>
            </w:r>
            <w:r w:rsidR="0042736F"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立项汇</w:t>
            </w:r>
            <w:proofErr w:type="gramStart"/>
            <w:r w:rsidR="0042736F"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—</w:t>
            </w:r>
            <w:r w:rsidR="0042736F"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重点</w:t>
            </w:r>
            <w:proofErr w:type="gramEnd"/>
            <w:r w:rsidR="0042736F"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项目</w:t>
            </w:r>
          </w:p>
        </w:tc>
        <w:tc>
          <w:tcPr>
            <w:tcW w:w="1056" w:type="dxa"/>
          </w:tcPr>
          <w:p w:rsidR="00D42E77" w:rsidRPr="008758F5" w:rsidRDefault="0042736F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10</w:t>
            </w:r>
          </w:p>
        </w:tc>
        <w:tc>
          <w:tcPr>
            <w:tcW w:w="1496" w:type="dxa"/>
          </w:tcPr>
          <w:p w:rsidR="00D42E77" w:rsidRPr="008758F5" w:rsidRDefault="0042736F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:rsidR="00D42E77" w:rsidRPr="008758F5" w:rsidRDefault="0042736F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20</w:t>
            </w:r>
          </w:p>
        </w:tc>
      </w:tr>
      <w:tr w:rsidR="00D42E77" w:rsidRPr="008758F5" w:rsidTr="00D05988">
        <w:trPr>
          <w:trHeight w:val="409"/>
        </w:trPr>
        <w:tc>
          <w:tcPr>
            <w:tcW w:w="3969" w:type="dxa"/>
          </w:tcPr>
          <w:p w:rsidR="00D42E77" w:rsidRPr="008758F5" w:rsidRDefault="0042736F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“</w:t>
            </w: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新四会</w:t>
            </w: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”</w:t>
            </w: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能力提升计划立项汇</w:t>
            </w:r>
            <w:proofErr w:type="gramStart"/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—</w:t>
            </w: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一般</w:t>
            </w:r>
            <w:proofErr w:type="gramEnd"/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项目</w:t>
            </w:r>
          </w:p>
        </w:tc>
        <w:tc>
          <w:tcPr>
            <w:tcW w:w="1056" w:type="dxa"/>
          </w:tcPr>
          <w:p w:rsidR="00D42E77" w:rsidRPr="008758F5" w:rsidRDefault="0042736F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20</w:t>
            </w:r>
          </w:p>
        </w:tc>
        <w:tc>
          <w:tcPr>
            <w:tcW w:w="1496" w:type="dxa"/>
          </w:tcPr>
          <w:p w:rsidR="00D42E77" w:rsidRPr="008758F5" w:rsidRDefault="0042736F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0.5</w:t>
            </w:r>
          </w:p>
        </w:tc>
        <w:tc>
          <w:tcPr>
            <w:tcW w:w="1559" w:type="dxa"/>
          </w:tcPr>
          <w:p w:rsidR="00D42E77" w:rsidRPr="008758F5" w:rsidRDefault="0042736F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10</w:t>
            </w:r>
          </w:p>
        </w:tc>
      </w:tr>
      <w:tr w:rsidR="00D42E77" w:rsidRPr="008758F5" w:rsidTr="00D05988">
        <w:tc>
          <w:tcPr>
            <w:tcW w:w="5025" w:type="dxa"/>
            <w:gridSpan w:val="2"/>
          </w:tcPr>
          <w:p w:rsidR="00D42E77" w:rsidRPr="008758F5" w:rsidRDefault="00D42E77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合计</w:t>
            </w:r>
            <w:r w:rsidR="00D05988"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（万）</w:t>
            </w:r>
          </w:p>
        </w:tc>
        <w:tc>
          <w:tcPr>
            <w:tcW w:w="3055" w:type="dxa"/>
            <w:gridSpan w:val="2"/>
          </w:tcPr>
          <w:p w:rsidR="00D42E77" w:rsidRPr="008758F5" w:rsidRDefault="0042736F" w:rsidP="00603878">
            <w:pPr>
              <w:spacing w:line="520" w:lineRule="exact"/>
              <w:jc w:val="center"/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8758F5">
              <w:rPr>
                <w:rFonts w:ascii="Times New Roman" w:eastAsia="方正仿宋简体" w:hAnsi="Times New Roman" w:cs="Times New Roman"/>
                <w:color w:val="000000" w:themeColor="text1"/>
                <w:kern w:val="0"/>
                <w:sz w:val="32"/>
                <w:szCs w:val="32"/>
              </w:rPr>
              <w:t>30</w:t>
            </w:r>
          </w:p>
        </w:tc>
      </w:tr>
    </w:tbl>
    <w:p w:rsidR="00C25701" w:rsidRPr="008758F5" w:rsidRDefault="00C25701" w:rsidP="00603878">
      <w:pPr>
        <w:pStyle w:val="a5"/>
        <w:shd w:val="clear" w:color="auto" w:fill="FFFFFF"/>
        <w:spacing w:before="0" w:beforeAutospacing="0" w:after="0" w:afterAutospacing="0" w:line="520" w:lineRule="exact"/>
        <w:jc w:val="both"/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</w:pPr>
      <w:r w:rsidRPr="008758F5"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  <w:lastRenderedPageBreak/>
        <w:t>三、</w:t>
      </w:r>
      <w:r w:rsidR="00F44581" w:rsidRPr="008758F5"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  <w:t>实施</w:t>
      </w:r>
      <w:r w:rsidR="003624DD" w:rsidRPr="008758F5">
        <w:rPr>
          <w:rFonts w:ascii="Times New Roman" w:eastAsia="方正黑体简体" w:hAnsi="Times New Roman" w:cs="Times New Roman"/>
          <w:b/>
          <w:color w:val="000000" w:themeColor="text1"/>
          <w:sz w:val="32"/>
          <w:szCs w:val="32"/>
        </w:rPr>
        <w:t>安排</w:t>
      </w:r>
    </w:p>
    <w:p w:rsidR="006454AD" w:rsidRPr="008758F5" w:rsidRDefault="00C25701" w:rsidP="0060387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  <w:t>1.</w:t>
      </w:r>
      <w:r w:rsidR="003624DD" w:rsidRPr="008758F5"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  <w:t>申报</w:t>
      </w:r>
      <w:r w:rsidR="006454AD" w:rsidRPr="008758F5"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  <w:t>对象</w:t>
      </w:r>
    </w:p>
    <w:p w:rsidR="006454AD" w:rsidRPr="008758F5" w:rsidRDefault="006454AD" w:rsidP="0060387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校内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各学院，各职能部门，学生党支部、</w:t>
      </w:r>
      <w:r w:rsidR="00A65822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各级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团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组织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、</w:t>
      </w:r>
      <w:r w:rsidR="00A65822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学生会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组织</w:t>
      </w:r>
      <w:r w:rsidR="00A65822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、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社团、班级（含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“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立人班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”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等</w:t>
      </w:r>
      <w:r w:rsidR="00D477AD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特色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班</w:t>
      </w:r>
      <w:r w:rsidR="00D477AD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级</w:t>
      </w:r>
      <w:r w:rsidR="0042736F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）等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。</w:t>
      </w:r>
    </w:p>
    <w:p w:rsidR="006454AD" w:rsidRPr="008758F5" w:rsidRDefault="006454AD" w:rsidP="0060387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  <w:t>2.</w:t>
      </w:r>
      <w:r w:rsidRPr="008758F5"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  <w:t>申报要求</w:t>
      </w:r>
    </w:p>
    <w:p w:rsidR="00603878" w:rsidRPr="008758F5" w:rsidRDefault="0042736F" w:rsidP="00274E60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各申报单位需</w:t>
      </w:r>
      <w:r w:rsidR="00C25701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围绕</w:t>
      </w:r>
      <w:r w:rsidR="00C25701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“</w:t>
      </w:r>
      <w:r w:rsidR="00C25701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新四会</w:t>
      </w:r>
      <w:r w:rsidR="00C25701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”</w:t>
      </w:r>
      <w:r w:rsidR="00C25701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能力提升主题，结合</w:t>
      </w:r>
      <w:r w:rsidR="006454AD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日常活动开展</w:t>
      </w:r>
      <w:r w:rsidR="00C25701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，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按照要求填写申报</w:t>
      </w:r>
      <w:proofErr w:type="gramStart"/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书</w:t>
      </w:r>
      <w:r w:rsidR="00C25701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参与</w:t>
      </w:r>
      <w:proofErr w:type="gramEnd"/>
      <w:r w:rsidR="00C25701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申报</w:t>
      </w:r>
      <w:r w:rsidR="006F18B7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。</w:t>
      </w:r>
      <w:r w:rsidR="00F8544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各</w:t>
      </w:r>
      <w:r w:rsidR="001166CD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申报项目</w:t>
      </w:r>
      <w:r w:rsidR="00F8544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需配备</w:t>
      </w:r>
      <w:r w:rsidR="00723904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至少</w:t>
      </w:r>
      <w:r w:rsidR="00723904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1</w:t>
      </w:r>
      <w:r w:rsidR="00F8544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名指导教师</w:t>
      </w:r>
      <w:r w:rsidR="0003242D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。</w:t>
      </w:r>
      <w:bookmarkStart w:id="0" w:name="_GoBack"/>
      <w:bookmarkEnd w:id="0"/>
    </w:p>
    <w:p w:rsidR="0048155A" w:rsidRPr="008758F5" w:rsidRDefault="00DD0748" w:rsidP="0042210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  <w:t>3</w:t>
      </w:r>
      <w:r w:rsidR="003624DD" w:rsidRPr="008758F5"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  <w:t>.</w:t>
      </w:r>
      <w:r w:rsidR="00603878" w:rsidRPr="008758F5">
        <w:rPr>
          <w:rFonts w:ascii="Times New Roman" w:eastAsia="方正楷体简体" w:hAnsi="Times New Roman" w:cs="Times New Roman"/>
          <w:color w:val="000000" w:themeColor="text1"/>
          <w:sz w:val="32"/>
          <w:szCs w:val="32"/>
        </w:rPr>
        <w:t>申报流程</w:t>
      </w:r>
    </w:p>
    <w:p w:rsidR="00422108" w:rsidRPr="008758F5" w:rsidRDefault="00422108" w:rsidP="0042210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（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1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）项目申报</w:t>
      </w:r>
    </w:p>
    <w:p w:rsidR="00603878" w:rsidRPr="008758F5" w:rsidRDefault="00422108" w:rsidP="008B7F6E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按照要求填写申报书和完成项目策划，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10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月</w:t>
      </w:r>
      <w:r w:rsidR="00D82311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10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日前，各申报单位</w:t>
      </w:r>
      <w:r w:rsidR="00603878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将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全部申报纸质</w:t>
      </w:r>
      <w:r w:rsidR="00603878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材料</w:t>
      </w:r>
      <w:r w:rsidR="0080720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（一份）</w:t>
      </w:r>
      <w:r w:rsidR="00603878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交到校团委办公室（学生活动中心</w:t>
      </w:r>
      <w:r w:rsidR="00603878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104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A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），电子</w:t>
      </w:r>
      <w:proofErr w:type="gramStart"/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档</w:t>
      </w:r>
      <w:proofErr w:type="gramEnd"/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材料发送至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xiaotuanwei@uestc.edu.cn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，逾期不予补报，各单位最多申报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2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项，可多单位联合申报。</w:t>
      </w:r>
      <w:r w:rsidR="008B7F6E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校团委将对</w:t>
      </w:r>
      <w:r w:rsidR="008B7F6E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申报材料进行初选</w:t>
      </w:r>
      <w:r w:rsidR="0080720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，并公布入围校级答辩名单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。</w:t>
      </w:r>
    </w:p>
    <w:p w:rsidR="00603878" w:rsidRPr="008758F5" w:rsidRDefault="00422108" w:rsidP="0042210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（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2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）项目答辩</w:t>
      </w:r>
    </w:p>
    <w:p w:rsidR="00422108" w:rsidRPr="008758F5" w:rsidRDefault="00422108" w:rsidP="00807209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校团委将邀请有关方面负责人、学者专家组成</w:t>
      </w:r>
      <w:r w:rsidR="008158AE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答辩评审团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，答辩顺序抽签决定</w:t>
      </w:r>
      <w:r w:rsidR="0080720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，答辩具体安排等待后续通知。</w:t>
      </w:r>
    </w:p>
    <w:p w:rsidR="00422108" w:rsidRPr="008758F5" w:rsidRDefault="00422108" w:rsidP="0042210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评审标准包括：组织基础（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10%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）、项目设计（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40%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）、预期</w:t>
      </w:r>
      <w:r w:rsidR="008158AE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成效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（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20%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）、经费预算（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10%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）、</w:t>
      </w:r>
      <w:r w:rsidR="008158AE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现场发挥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（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20%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）。</w:t>
      </w:r>
    </w:p>
    <w:p w:rsidR="00F8016B" w:rsidRPr="008758F5" w:rsidRDefault="00F8016B" w:rsidP="0042210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（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3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）结果公示</w:t>
      </w:r>
    </w:p>
    <w:p w:rsidR="00807209" w:rsidRPr="008758F5" w:rsidRDefault="008B7F6E" w:rsidP="0042210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根据现场答辩</w:t>
      </w:r>
      <w:r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成绩排序</w:t>
      </w:r>
      <w:r w:rsidR="0080720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，</w:t>
      </w:r>
      <w:r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前</w:t>
      </w:r>
      <w:r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10</w:t>
      </w:r>
      <w:r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的</w:t>
      </w:r>
      <w:r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项目作为重点项目，</w:t>
      </w:r>
      <w:r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11</w:t>
      </w:r>
      <w:r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-30</w:t>
      </w:r>
      <w:r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的</w:t>
      </w:r>
      <w:r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项目</w:t>
      </w:r>
      <w:r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作为</w:t>
      </w:r>
      <w:r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一般项目</w:t>
      </w:r>
      <w:r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。</w:t>
      </w:r>
      <w:r w:rsidR="0080720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最终结果将在校内相关网站和</w:t>
      </w:r>
      <w:proofErr w:type="gramStart"/>
      <w:r w:rsidR="0080720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微信平台</w:t>
      </w:r>
      <w:proofErr w:type="gramEnd"/>
      <w:r w:rsidR="00807209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公示，公示期结束后，各申报单位即可开展项目。</w:t>
      </w:r>
    </w:p>
    <w:p w:rsidR="00422108" w:rsidRPr="008758F5" w:rsidRDefault="00807209" w:rsidP="00422108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Times New Roman" w:eastAsia="方正仿宋简体" w:hAnsi="Times New Roman" w:cs="Times New Roman"/>
          <w:b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4</w:t>
      </w:r>
      <w:r w:rsidR="00422108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.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活动宣传</w:t>
      </w:r>
    </w:p>
    <w:p w:rsidR="008758F5" w:rsidRPr="008758F5" w:rsidRDefault="00807209" w:rsidP="00807209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lastRenderedPageBreak/>
        <w:t>各申报单位</w:t>
      </w:r>
      <w:r w:rsidR="008758F5"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需重视活动宣传工作</w:t>
      </w:r>
      <w:r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，将宣传贯穿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活动</w:t>
      </w:r>
      <w:r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全过程，做到启动有声势、活动有高潮、日常有声音。充分运用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现有</w:t>
      </w:r>
      <w:r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宣传思想文化阵地和新媒体阵地集群，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主动拓展校外媒体资源</w:t>
      </w:r>
      <w:r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积极发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声</w:t>
      </w:r>
      <w:r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，为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“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新四会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”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能力提升计划项目的顺利开展营造氛围，</w:t>
      </w:r>
      <w:r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将工作信号和活动要求及时传递到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全校同学和所有班级。</w:t>
      </w:r>
    </w:p>
    <w:p w:rsidR="008758F5" w:rsidRPr="008758F5" w:rsidRDefault="00D82311" w:rsidP="008758F5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color w:val="000000"/>
          <w:kern w:val="0"/>
          <w:sz w:val="32"/>
          <w:szCs w:val="32"/>
        </w:rPr>
        <w:t>入围</w:t>
      </w:r>
      <w:r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项目将按照后期要求，将相关宣传资料和活动开展进展</w:t>
      </w:r>
      <w:r w:rsidR="008758F5" w:rsidRPr="008758F5">
        <w:rPr>
          <w:rFonts w:ascii="Times New Roman" w:eastAsia="方正仿宋简体" w:hAnsi="Times New Roman" w:cs="Times New Roman"/>
          <w:color w:val="000000"/>
          <w:kern w:val="0"/>
          <w:sz w:val="32"/>
          <w:szCs w:val="32"/>
        </w:rPr>
        <w:t>及时上报校团委，校团委将定期制作简报并印发至校内各有关职能部门、学院。</w:t>
      </w:r>
    </w:p>
    <w:p w:rsidR="00422108" w:rsidRPr="008758F5" w:rsidRDefault="008758F5" w:rsidP="00422108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5</w:t>
      </w:r>
      <w:r w:rsidR="00422108"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、总结评审</w:t>
      </w:r>
    </w:p>
    <w:p w:rsidR="00422108" w:rsidRDefault="00422108" w:rsidP="00422108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最终入选的各学生组织需在</w:t>
      </w: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201</w:t>
      </w:r>
      <w:r w:rsidR="008B7F6E">
        <w:rPr>
          <w:rFonts w:ascii="Times New Roman" w:eastAsia="方正仿宋简体" w:hAnsi="Times New Roman" w:cs="Times New Roman" w:hint="eastAsia"/>
          <w:color w:val="000000" w:themeColor="text1"/>
          <w:kern w:val="0"/>
          <w:sz w:val="32"/>
          <w:szCs w:val="32"/>
        </w:rPr>
        <w:t>7</w:t>
      </w: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年</w:t>
      </w: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12</w:t>
      </w: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月提交总结报告，其实施情况</w:t>
      </w:r>
      <w:r w:rsidR="00F10A9A">
        <w:rPr>
          <w:rFonts w:ascii="Times New Roman" w:eastAsia="方正仿宋简体" w:hAnsi="Times New Roman" w:cs="Times New Roman" w:hint="eastAsia"/>
          <w:color w:val="000000" w:themeColor="text1"/>
          <w:kern w:val="0"/>
          <w:sz w:val="32"/>
          <w:szCs w:val="32"/>
        </w:rPr>
        <w:t>将参考</w:t>
      </w:r>
      <w:r w:rsidR="00F10A9A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去年方式</w:t>
      </w: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纳入学生工作年终考核并作为</w:t>
      </w: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201</w:t>
      </w:r>
      <w:r w:rsidR="008758F5"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8</w:t>
      </w:r>
      <w:r w:rsidRPr="008758F5"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  <w:t>年支持评选的参考。</w:t>
      </w:r>
    </w:p>
    <w:p w:rsidR="008758F5" w:rsidRDefault="008758F5" w:rsidP="00422108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</w:pPr>
    </w:p>
    <w:p w:rsidR="008758F5" w:rsidRPr="008758F5" w:rsidRDefault="008758F5" w:rsidP="00422108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color w:val="000000" w:themeColor="text1"/>
          <w:kern w:val="0"/>
          <w:sz w:val="32"/>
          <w:szCs w:val="32"/>
        </w:rPr>
      </w:pPr>
    </w:p>
    <w:p w:rsidR="003302B6" w:rsidRPr="008758F5" w:rsidRDefault="003302B6" w:rsidP="00422108">
      <w:pPr>
        <w:pStyle w:val="a5"/>
        <w:shd w:val="clear" w:color="auto" w:fill="FFFFFF"/>
        <w:spacing w:before="0" w:beforeAutospacing="0" w:after="0" w:afterAutospacing="0" w:line="520" w:lineRule="exact"/>
        <w:ind w:firstLine="48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              </w:t>
      </w:r>
      <w:r w:rsidR="000A2D2A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 </w:t>
      </w:r>
      <w:r w:rsid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</w:t>
      </w:r>
      <w:r w:rsidR="0003242D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    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</w:t>
      </w:r>
      <w:r w:rsidR="008758F5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共青团电子科技大学</w:t>
      </w:r>
      <w:r w:rsid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委员会</w:t>
      </w:r>
    </w:p>
    <w:p w:rsidR="003302B6" w:rsidRPr="008758F5" w:rsidRDefault="003302B6" w:rsidP="00422108">
      <w:pPr>
        <w:pStyle w:val="a5"/>
        <w:shd w:val="clear" w:color="auto" w:fill="FFFFFF"/>
        <w:spacing w:before="0" w:beforeAutospacing="0" w:after="0" w:afterAutospacing="0" w:line="520" w:lineRule="exact"/>
        <w:ind w:leftChars="100" w:left="7890" w:hangingChars="2400" w:hanging="7680"/>
        <w:jc w:val="both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          </w:t>
      </w:r>
      <w:r w:rsidR="0003242D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  </w:t>
      </w:r>
      <w:r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</w:t>
      </w:r>
      <w:r w:rsidR="008758F5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          </w:t>
      </w:r>
      <w:r w:rsid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 </w:t>
      </w:r>
      <w:r w:rsidR="008758F5" w:rsidRPr="008758F5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 xml:space="preserve">  </w:t>
      </w:r>
      <w:r w:rsidR="008758F5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2017</w:t>
      </w:r>
      <w:r w:rsidR="008758F5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年</w:t>
      </w:r>
      <w:r w:rsidR="008758F5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9</w:t>
      </w:r>
      <w:r w:rsidR="008758F5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月</w:t>
      </w:r>
      <w:r w:rsidR="008758F5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2</w:t>
      </w:r>
      <w:r w:rsidR="00D82311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7</w:t>
      </w:r>
      <w:r w:rsidR="008758F5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日</w:t>
      </w:r>
    </w:p>
    <w:p w:rsidR="00FD0C0C" w:rsidRPr="008758F5" w:rsidRDefault="00FD0C0C" w:rsidP="00422108">
      <w:pPr>
        <w:spacing w:line="520" w:lineRule="exact"/>
        <w:rPr>
          <w:rFonts w:ascii="Times New Roman" w:eastAsia="方正仿宋简体" w:hAnsi="Times New Roman" w:cs="Times New Roman"/>
          <w:sz w:val="32"/>
          <w:szCs w:val="32"/>
        </w:rPr>
      </w:pPr>
    </w:p>
    <w:sectPr w:rsidR="00FD0C0C" w:rsidRPr="008758F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461" w:rsidRDefault="00867461" w:rsidP="006944D7">
      <w:r>
        <w:separator/>
      </w:r>
    </w:p>
  </w:endnote>
  <w:endnote w:type="continuationSeparator" w:id="0">
    <w:p w:rsidR="00867461" w:rsidRDefault="00867461" w:rsidP="0069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8022066"/>
      <w:docPartObj>
        <w:docPartGallery w:val="Page Numbers (Bottom of Page)"/>
        <w:docPartUnique/>
      </w:docPartObj>
    </w:sdtPr>
    <w:sdtContent>
      <w:p w:rsidR="00D82311" w:rsidRDefault="00D8231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10C" w:rsidRPr="001B310C">
          <w:rPr>
            <w:noProof/>
            <w:lang w:val="zh-CN"/>
          </w:rPr>
          <w:t>3</w:t>
        </w:r>
        <w:r>
          <w:fldChar w:fldCharType="end"/>
        </w:r>
      </w:p>
    </w:sdtContent>
  </w:sdt>
  <w:p w:rsidR="00D82311" w:rsidRDefault="00D8231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461" w:rsidRDefault="00867461" w:rsidP="006944D7">
      <w:r>
        <w:separator/>
      </w:r>
    </w:p>
  </w:footnote>
  <w:footnote w:type="continuationSeparator" w:id="0">
    <w:p w:rsidR="00867461" w:rsidRDefault="00867461" w:rsidP="00694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E2DD9"/>
    <w:multiLevelType w:val="hybridMultilevel"/>
    <w:tmpl w:val="4E64D83A"/>
    <w:lvl w:ilvl="0" w:tplc="EC28580E">
      <w:start w:val="1"/>
      <w:numFmt w:val="decimalEnclosedCircle"/>
      <w:lvlText w:val="%1"/>
      <w:lvlJc w:val="left"/>
      <w:pPr>
        <w:ind w:left="84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">
    <w:nsid w:val="29A84D6A"/>
    <w:multiLevelType w:val="hybridMultilevel"/>
    <w:tmpl w:val="EE40914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5B6F9D"/>
    <w:multiLevelType w:val="hybridMultilevel"/>
    <w:tmpl w:val="9A145DEA"/>
    <w:lvl w:ilvl="0" w:tplc="7C263F72">
      <w:start w:val="1"/>
      <w:numFmt w:val="decimalEnclosedCircle"/>
      <w:lvlText w:val="%1"/>
      <w:lvlJc w:val="left"/>
      <w:pPr>
        <w:ind w:left="845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">
    <w:nsid w:val="43F678EA"/>
    <w:multiLevelType w:val="hybridMultilevel"/>
    <w:tmpl w:val="8F02CD8E"/>
    <w:lvl w:ilvl="0" w:tplc="10B07B6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8963601"/>
    <w:multiLevelType w:val="hybridMultilevel"/>
    <w:tmpl w:val="64AED69C"/>
    <w:lvl w:ilvl="0" w:tplc="10B07B6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6D483344"/>
    <w:multiLevelType w:val="hybridMultilevel"/>
    <w:tmpl w:val="F6C69D4E"/>
    <w:lvl w:ilvl="0" w:tplc="10B07B6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24"/>
    <w:rsid w:val="0003242D"/>
    <w:rsid w:val="00047A79"/>
    <w:rsid w:val="000611A3"/>
    <w:rsid w:val="00062244"/>
    <w:rsid w:val="000645A3"/>
    <w:rsid w:val="000708C4"/>
    <w:rsid w:val="00076918"/>
    <w:rsid w:val="000A2D2A"/>
    <w:rsid w:val="000A55EC"/>
    <w:rsid w:val="000B4F32"/>
    <w:rsid w:val="000E57E2"/>
    <w:rsid w:val="001166CD"/>
    <w:rsid w:val="00161089"/>
    <w:rsid w:val="00176905"/>
    <w:rsid w:val="00195577"/>
    <w:rsid w:val="001B310C"/>
    <w:rsid w:val="0020455E"/>
    <w:rsid w:val="0021233F"/>
    <w:rsid w:val="002478CC"/>
    <w:rsid w:val="00274E60"/>
    <w:rsid w:val="00285ED5"/>
    <w:rsid w:val="002B1AFB"/>
    <w:rsid w:val="002D3A09"/>
    <w:rsid w:val="002E0F69"/>
    <w:rsid w:val="003302B6"/>
    <w:rsid w:val="00335947"/>
    <w:rsid w:val="00336FF5"/>
    <w:rsid w:val="003624DD"/>
    <w:rsid w:val="003815BB"/>
    <w:rsid w:val="00382924"/>
    <w:rsid w:val="003A28C9"/>
    <w:rsid w:val="003A6BC8"/>
    <w:rsid w:val="003C403B"/>
    <w:rsid w:val="00422108"/>
    <w:rsid w:val="0042736F"/>
    <w:rsid w:val="004545BA"/>
    <w:rsid w:val="0048155A"/>
    <w:rsid w:val="004A1DCE"/>
    <w:rsid w:val="0050560A"/>
    <w:rsid w:val="0051003D"/>
    <w:rsid w:val="00515351"/>
    <w:rsid w:val="00516256"/>
    <w:rsid w:val="005C7BF6"/>
    <w:rsid w:val="00603878"/>
    <w:rsid w:val="00605B0E"/>
    <w:rsid w:val="00606E73"/>
    <w:rsid w:val="0062178A"/>
    <w:rsid w:val="00644E88"/>
    <w:rsid w:val="006454AD"/>
    <w:rsid w:val="006944D7"/>
    <w:rsid w:val="006D2578"/>
    <w:rsid w:val="006F18B7"/>
    <w:rsid w:val="00723904"/>
    <w:rsid w:val="00726687"/>
    <w:rsid w:val="00751D28"/>
    <w:rsid w:val="00757998"/>
    <w:rsid w:val="007D61FB"/>
    <w:rsid w:val="00807209"/>
    <w:rsid w:val="008158AE"/>
    <w:rsid w:val="00854453"/>
    <w:rsid w:val="00864BC8"/>
    <w:rsid w:val="00866E9E"/>
    <w:rsid w:val="00867461"/>
    <w:rsid w:val="008758F5"/>
    <w:rsid w:val="00882A86"/>
    <w:rsid w:val="008B5E89"/>
    <w:rsid w:val="008B7F6E"/>
    <w:rsid w:val="008E3128"/>
    <w:rsid w:val="009138A1"/>
    <w:rsid w:val="00927AAD"/>
    <w:rsid w:val="00934581"/>
    <w:rsid w:val="0097467A"/>
    <w:rsid w:val="00996EBA"/>
    <w:rsid w:val="00A1294A"/>
    <w:rsid w:val="00A20995"/>
    <w:rsid w:val="00A40DDE"/>
    <w:rsid w:val="00A42CDF"/>
    <w:rsid w:val="00A65822"/>
    <w:rsid w:val="00A71D2E"/>
    <w:rsid w:val="00AF422A"/>
    <w:rsid w:val="00B02910"/>
    <w:rsid w:val="00B2004A"/>
    <w:rsid w:val="00B35376"/>
    <w:rsid w:val="00B47CCE"/>
    <w:rsid w:val="00B94792"/>
    <w:rsid w:val="00C255E0"/>
    <w:rsid w:val="00C25701"/>
    <w:rsid w:val="00C52502"/>
    <w:rsid w:val="00C74245"/>
    <w:rsid w:val="00C83C12"/>
    <w:rsid w:val="00C92746"/>
    <w:rsid w:val="00CA30B6"/>
    <w:rsid w:val="00CA61E7"/>
    <w:rsid w:val="00CA78D9"/>
    <w:rsid w:val="00CB7674"/>
    <w:rsid w:val="00CC38AB"/>
    <w:rsid w:val="00CF33FA"/>
    <w:rsid w:val="00CF68D7"/>
    <w:rsid w:val="00D05988"/>
    <w:rsid w:val="00D379CD"/>
    <w:rsid w:val="00D42E77"/>
    <w:rsid w:val="00D431D0"/>
    <w:rsid w:val="00D477AD"/>
    <w:rsid w:val="00D6004C"/>
    <w:rsid w:val="00D82311"/>
    <w:rsid w:val="00D87FA3"/>
    <w:rsid w:val="00DB0D9B"/>
    <w:rsid w:val="00DD0748"/>
    <w:rsid w:val="00E423F4"/>
    <w:rsid w:val="00EC6CAD"/>
    <w:rsid w:val="00F10A9A"/>
    <w:rsid w:val="00F3498E"/>
    <w:rsid w:val="00F44581"/>
    <w:rsid w:val="00F7410A"/>
    <w:rsid w:val="00F8016B"/>
    <w:rsid w:val="00F85449"/>
    <w:rsid w:val="00FA5B6E"/>
    <w:rsid w:val="00FD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F26AEB-5E9B-48C9-B9EE-35933508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4D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944D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44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44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44D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944D7"/>
    <w:rPr>
      <w:b/>
      <w:bCs/>
      <w:kern w:val="44"/>
      <w:sz w:val="44"/>
      <w:szCs w:val="44"/>
    </w:rPr>
  </w:style>
  <w:style w:type="paragraph" w:styleId="a5">
    <w:name w:val="Normal (Web)"/>
    <w:basedOn w:val="a"/>
    <w:uiPriority w:val="99"/>
    <w:unhideWhenUsed/>
    <w:rsid w:val="006944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944D7"/>
    <w:rPr>
      <w:b/>
      <w:bCs/>
    </w:rPr>
  </w:style>
  <w:style w:type="table" w:styleId="a7">
    <w:name w:val="Table Grid"/>
    <w:basedOn w:val="a1"/>
    <w:uiPriority w:val="39"/>
    <w:rsid w:val="00510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8E312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E3128"/>
    <w:rPr>
      <w:sz w:val="18"/>
      <w:szCs w:val="18"/>
    </w:rPr>
  </w:style>
  <w:style w:type="character" w:styleId="a9">
    <w:name w:val="Hyperlink"/>
    <w:basedOn w:val="a0"/>
    <w:uiPriority w:val="99"/>
    <w:unhideWhenUsed/>
    <w:rsid w:val="004221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chouchou</dc:creator>
  <cp:keywords/>
  <dc:description/>
  <cp:lastModifiedBy>JLF</cp:lastModifiedBy>
  <cp:revision>49</cp:revision>
  <cp:lastPrinted>2016-10-28T07:35:00Z</cp:lastPrinted>
  <dcterms:created xsi:type="dcterms:W3CDTF">2016-10-21T03:14:00Z</dcterms:created>
  <dcterms:modified xsi:type="dcterms:W3CDTF">2017-09-27T06:00:00Z</dcterms:modified>
</cp:coreProperties>
</file>